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附件4：</w:t>
      </w:r>
    </w:p>
    <w:tbl>
      <w:tblPr>
        <w:tblW w:w="9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4140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84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2018年职称评审纸质材料（单位/公司）报送时间安排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深圳市市政工程总公司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11月12日上午9：00-9:30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深圳市市政设计研究院有限公司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深圳市现代有轨电车有限公司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11月12日上午9：30-10:00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深圳市金才人力资源管理有限公司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11月12日上午10：00-10:30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深圳市新城市规划建筑设计股份有限公司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深圳市易行网交通科技有限公司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深圳市粤通建设工程有限公司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天津市市政工程设计研究院南方分院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11月12日上午10：30-11:20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深圳海勤工程管理有限公司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深圳市都市交通规划设计研究院有限公司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深圳市交运工程集团有限公司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深圳市公路交通工程试验检测中心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11月12日下午14：00-15：30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深圳高速工程顾问有限公司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11月12日下午15：30-16:00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深圳高速工程检测有限公司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港铁轨道交通(深圳)有限公司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深圳市城际交通规划设计研究中心有限公司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11月12日下午16：00-16:40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深圳市路桥建设集团有限公司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深圳地铁集团集团有限公司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11月13日（全天）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上述单位请按指定时间安排</w:t>
            </w:r>
            <w:r>
              <w:rPr>
                <w:rStyle w:val="6"/>
                <w:lang w:val="en-US" w:eastAsia="zh-CN" w:bidi="ar"/>
              </w:rPr>
              <w:t>由本单位</w:t>
            </w:r>
            <w:r>
              <w:rPr>
                <w:rStyle w:val="7"/>
                <w:lang w:val="en-US" w:eastAsia="zh-CN" w:bidi="ar"/>
              </w:rPr>
              <w:t>集中统一报送材料，其余单位申报人可于11月8日、9日、14日将纸质材料报送至我协会。（截止时间为11月14日下午16点）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F30D5"/>
    <w:rsid w:val="0FDF30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6">
    <w:name w:val="font11"/>
    <w:basedOn w:val="2"/>
    <w:uiPriority w:val="0"/>
    <w:rPr>
      <w:rFonts w:hint="eastAsia" w:ascii="黑体" w:hAnsi="宋体" w:eastAsia="黑体" w:cs="黑体"/>
      <w:b/>
      <w:color w:val="FF0000"/>
      <w:sz w:val="28"/>
      <w:szCs w:val="28"/>
      <w:u w:val="none"/>
    </w:rPr>
  </w:style>
  <w:style w:type="character" w:customStyle="1" w:styleId="7">
    <w:name w:val="font01"/>
    <w:basedOn w:val="2"/>
    <w:uiPriority w:val="0"/>
    <w:rPr>
      <w:rFonts w:hint="eastAsia" w:ascii="黑体" w:hAnsi="宋体" w:eastAsia="黑体" w:cs="黑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2018-09-20T09:37:00Z</dcterms:created>
  <dc:creator>佳0</dc:creator>
  <cp:lastModifiedBy>佳0</cp:lastModifiedBy>
  <dcterms:modified xsi:type="dcterms:W3CDTF">2018-09-20T09:39:10Z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