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804"/>
      </w:tblGrid>
      <w:tr w:rsidR="007C2A28" w:rsidRPr="00A719E3" w:rsidTr="00205C3F">
        <w:trPr>
          <w:jc w:val="center"/>
        </w:trPr>
        <w:tc>
          <w:tcPr>
            <w:tcW w:w="8217" w:type="dxa"/>
            <w:gridSpan w:val="2"/>
            <w:vAlign w:val="center"/>
          </w:tcPr>
          <w:p w:rsidR="007C2A28" w:rsidRPr="00A719E3" w:rsidRDefault="007C2A28" w:rsidP="00205C3F">
            <w:pPr>
              <w:jc w:val="center"/>
              <w:rPr>
                <w:rFonts w:ascii="黑体" w:eastAsia="黑体" w:hAnsi="黑体"/>
                <w:szCs w:val="21"/>
              </w:rPr>
            </w:pPr>
            <w:r w:rsidRPr="00A719E3">
              <w:rPr>
                <w:rFonts w:ascii="黑体" w:eastAsia="黑体" w:hAnsi="黑体" w:hint="eastAsia"/>
                <w:szCs w:val="21"/>
              </w:rPr>
              <w:t>第一天</w:t>
            </w:r>
          </w:p>
        </w:tc>
      </w:tr>
      <w:tr w:rsidR="007C2A28" w:rsidRPr="00A719E3" w:rsidTr="00205C3F">
        <w:trPr>
          <w:jc w:val="center"/>
        </w:trPr>
        <w:tc>
          <w:tcPr>
            <w:tcW w:w="1413" w:type="dxa"/>
            <w:vAlign w:val="center"/>
          </w:tcPr>
          <w:p w:rsidR="007C2A28" w:rsidRPr="00A719E3" w:rsidRDefault="007C2A28" w:rsidP="00205C3F">
            <w:pPr>
              <w:jc w:val="center"/>
              <w:rPr>
                <w:rFonts w:ascii="黑体" w:eastAsia="黑体" w:hAnsi="黑体"/>
                <w:szCs w:val="21"/>
              </w:rPr>
            </w:pPr>
            <w:r w:rsidRPr="00A719E3">
              <w:rPr>
                <w:rFonts w:ascii="黑体" w:eastAsia="黑体" w:hAnsi="黑体" w:hint="eastAsia"/>
                <w:szCs w:val="21"/>
              </w:rPr>
              <w:t>9:</w:t>
            </w:r>
            <w:r w:rsidRPr="00A719E3">
              <w:rPr>
                <w:rFonts w:ascii="黑体" w:eastAsia="黑体" w:hAnsi="黑体"/>
                <w:szCs w:val="21"/>
              </w:rPr>
              <w:t>00</w:t>
            </w: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课程介绍</w:t>
            </w:r>
          </w:p>
        </w:tc>
      </w:tr>
      <w:tr w:rsidR="007C2A28" w:rsidRPr="00A719E3" w:rsidTr="00205C3F">
        <w:trPr>
          <w:jc w:val="center"/>
        </w:trPr>
        <w:tc>
          <w:tcPr>
            <w:tcW w:w="1413" w:type="dxa"/>
            <w:vMerge w:val="restart"/>
            <w:vAlign w:val="center"/>
          </w:tcPr>
          <w:p w:rsidR="007C2A28" w:rsidRPr="00A719E3" w:rsidRDefault="007C2A28" w:rsidP="00205C3F">
            <w:pPr>
              <w:jc w:val="center"/>
              <w:rPr>
                <w:rFonts w:ascii="黑体" w:eastAsia="黑体" w:hAnsi="黑体"/>
                <w:szCs w:val="21"/>
              </w:rPr>
            </w:pPr>
            <w:r w:rsidRPr="00A719E3">
              <w:rPr>
                <w:rFonts w:ascii="黑体" w:eastAsia="黑体" w:hAnsi="黑体" w:hint="eastAsia"/>
                <w:szCs w:val="21"/>
              </w:rPr>
              <w:t>9:</w:t>
            </w:r>
            <w:r w:rsidRPr="00A719E3">
              <w:rPr>
                <w:rFonts w:ascii="黑体" w:eastAsia="黑体" w:hAnsi="黑体"/>
                <w:szCs w:val="21"/>
              </w:rPr>
              <w:t>45</w:t>
            </w: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第一部分：客户的期望与当下趋势</w:t>
            </w:r>
          </w:p>
        </w:tc>
      </w:tr>
      <w:tr w:rsidR="007C2A28" w:rsidRPr="00A719E3" w:rsidTr="00205C3F">
        <w:trPr>
          <w:jc w:val="center"/>
        </w:trPr>
        <w:tc>
          <w:tcPr>
            <w:tcW w:w="1413" w:type="dxa"/>
            <w:vMerge/>
            <w:vAlign w:val="center"/>
          </w:tcPr>
          <w:p w:rsidR="007C2A28" w:rsidRPr="00A719E3" w:rsidRDefault="007C2A28" w:rsidP="00205C3F">
            <w:pPr>
              <w:jc w:val="center"/>
              <w:rPr>
                <w:rFonts w:ascii="黑体" w:eastAsia="黑体" w:hAnsi="黑体"/>
                <w:szCs w:val="21"/>
              </w:rPr>
            </w:pP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公共交通与生活方式</w:t>
            </w:r>
          </w:p>
        </w:tc>
      </w:tr>
      <w:tr w:rsidR="007C2A28" w:rsidRPr="00A719E3" w:rsidTr="00205C3F">
        <w:trPr>
          <w:jc w:val="center"/>
        </w:trPr>
        <w:tc>
          <w:tcPr>
            <w:tcW w:w="1413" w:type="dxa"/>
            <w:vMerge/>
            <w:vAlign w:val="center"/>
          </w:tcPr>
          <w:p w:rsidR="007C2A28" w:rsidRPr="00A719E3" w:rsidRDefault="007C2A28" w:rsidP="00205C3F">
            <w:pPr>
              <w:jc w:val="center"/>
              <w:rPr>
                <w:rFonts w:ascii="黑体" w:eastAsia="黑体" w:hAnsi="黑体"/>
                <w:szCs w:val="21"/>
              </w:rPr>
            </w:pP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公共交通中的质量竞争及质量认证</w:t>
            </w:r>
          </w:p>
        </w:tc>
      </w:tr>
      <w:tr w:rsidR="007C2A28" w:rsidRPr="00A719E3" w:rsidTr="00205C3F">
        <w:trPr>
          <w:jc w:val="center"/>
        </w:trPr>
        <w:tc>
          <w:tcPr>
            <w:tcW w:w="1413" w:type="dxa"/>
            <w:vMerge/>
            <w:vAlign w:val="center"/>
          </w:tcPr>
          <w:p w:rsidR="007C2A28" w:rsidRPr="00A719E3" w:rsidRDefault="007C2A28" w:rsidP="00205C3F">
            <w:pPr>
              <w:jc w:val="center"/>
              <w:rPr>
                <w:rFonts w:ascii="黑体" w:eastAsia="黑体" w:hAnsi="黑体"/>
                <w:szCs w:val="21"/>
              </w:rPr>
            </w:pP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上级管理组织在服务质量管理中的角色</w:t>
            </w:r>
          </w:p>
        </w:tc>
      </w:tr>
      <w:tr w:rsidR="007C2A28" w:rsidRPr="00A719E3" w:rsidTr="00205C3F">
        <w:trPr>
          <w:jc w:val="center"/>
        </w:trPr>
        <w:tc>
          <w:tcPr>
            <w:tcW w:w="1413" w:type="dxa"/>
            <w:vMerge/>
            <w:vAlign w:val="center"/>
          </w:tcPr>
          <w:p w:rsidR="007C2A28" w:rsidRPr="00A719E3" w:rsidRDefault="007C2A28" w:rsidP="00205C3F">
            <w:pPr>
              <w:jc w:val="center"/>
              <w:rPr>
                <w:rFonts w:ascii="黑体" w:eastAsia="黑体" w:hAnsi="黑体"/>
                <w:szCs w:val="21"/>
              </w:rPr>
            </w:pP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运营商在服务质量管理中的角色</w:t>
            </w:r>
          </w:p>
        </w:tc>
      </w:tr>
      <w:tr w:rsidR="007C2A28" w:rsidRPr="00A719E3" w:rsidTr="00205C3F">
        <w:trPr>
          <w:jc w:val="center"/>
        </w:trPr>
        <w:tc>
          <w:tcPr>
            <w:tcW w:w="1413" w:type="dxa"/>
            <w:vAlign w:val="center"/>
          </w:tcPr>
          <w:p w:rsidR="007C2A28" w:rsidRPr="00A719E3" w:rsidRDefault="007C2A28" w:rsidP="00205C3F">
            <w:pPr>
              <w:jc w:val="center"/>
              <w:rPr>
                <w:rFonts w:ascii="黑体" w:eastAsia="黑体" w:hAnsi="黑体"/>
                <w:szCs w:val="21"/>
              </w:rPr>
            </w:pPr>
            <w:r w:rsidRPr="00A719E3">
              <w:rPr>
                <w:rFonts w:ascii="黑体" w:eastAsia="黑体" w:hAnsi="黑体" w:hint="eastAsia"/>
                <w:szCs w:val="21"/>
              </w:rPr>
              <w:t>1</w:t>
            </w:r>
            <w:r w:rsidRPr="00A719E3">
              <w:rPr>
                <w:rFonts w:ascii="黑体" w:eastAsia="黑体" w:hAnsi="黑体"/>
                <w:szCs w:val="21"/>
              </w:rPr>
              <w:t>0</w:t>
            </w:r>
            <w:r w:rsidRPr="00A719E3">
              <w:rPr>
                <w:rFonts w:ascii="黑体" w:eastAsia="黑体" w:hAnsi="黑体" w:hint="eastAsia"/>
                <w:szCs w:val="21"/>
              </w:rPr>
              <w:t>:</w:t>
            </w:r>
            <w:r w:rsidRPr="00A719E3">
              <w:rPr>
                <w:rFonts w:ascii="黑体" w:eastAsia="黑体" w:hAnsi="黑体"/>
                <w:szCs w:val="21"/>
              </w:rPr>
              <w:t>30</w:t>
            </w:r>
          </w:p>
        </w:tc>
        <w:tc>
          <w:tcPr>
            <w:tcW w:w="6804" w:type="dxa"/>
          </w:tcPr>
          <w:p w:rsidR="007C2A28" w:rsidRPr="00A719E3" w:rsidRDefault="007C2A28" w:rsidP="00205C3F">
            <w:pPr>
              <w:rPr>
                <w:rFonts w:ascii="黑体" w:eastAsia="黑体" w:hAnsi="黑体"/>
                <w:szCs w:val="21"/>
              </w:rPr>
            </w:pPr>
            <w:proofErr w:type="gramStart"/>
            <w:r w:rsidRPr="00A719E3">
              <w:rPr>
                <w:rFonts w:ascii="黑体" w:eastAsia="黑体" w:hAnsi="黑体" w:hint="eastAsia"/>
                <w:szCs w:val="21"/>
              </w:rPr>
              <w:t>茶歇</w:t>
            </w:r>
            <w:proofErr w:type="gramEnd"/>
          </w:p>
        </w:tc>
      </w:tr>
      <w:tr w:rsidR="007C2A28" w:rsidRPr="00A719E3" w:rsidTr="00205C3F">
        <w:trPr>
          <w:jc w:val="center"/>
        </w:trPr>
        <w:tc>
          <w:tcPr>
            <w:tcW w:w="1413" w:type="dxa"/>
            <w:vMerge w:val="restart"/>
            <w:vAlign w:val="center"/>
          </w:tcPr>
          <w:p w:rsidR="007C2A28" w:rsidRPr="00A719E3" w:rsidRDefault="007C2A28" w:rsidP="00205C3F">
            <w:pPr>
              <w:jc w:val="center"/>
              <w:rPr>
                <w:rFonts w:ascii="黑体" w:eastAsia="黑体" w:hAnsi="黑体"/>
                <w:szCs w:val="21"/>
              </w:rPr>
            </w:pPr>
            <w:r w:rsidRPr="00A719E3">
              <w:rPr>
                <w:rFonts w:ascii="黑体" w:eastAsia="黑体" w:hAnsi="黑体" w:hint="eastAsia"/>
                <w:szCs w:val="21"/>
              </w:rPr>
              <w:t>1</w:t>
            </w:r>
            <w:r w:rsidRPr="00A719E3">
              <w:rPr>
                <w:rFonts w:ascii="黑体" w:eastAsia="黑体" w:hAnsi="黑体"/>
                <w:szCs w:val="21"/>
              </w:rPr>
              <w:t>1</w:t>
            </w:r>
            <w:r w:rsidRPr="00A719E3">
              <w:rPr>
                <w:rFonts w:ascii="黑体" w:eastAsia="黑体" w:hAnsi="黑体" w:hint="eastAsia"/>
                <w:szCs w:val="21"/>
              </w:rPr>
              <w:t>:</w:t>
            </w:r>
            <w:r w:rsidRPr="00A719E3">
              <w:rPr>
                <w:rFonts w:ascii="黑体" w:eastAsia="黑体" w:hAnsi="黑体"/>
                <w:szCs w:val="21"/>
              </w:rPr>
              <w:t>00</w:t>
            </w: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第二部分：公共交通的服务质量管理</w:t>
            </w:r>
          </w:p>
        </w:tc>
      </w:tr>
      <w:tr w:rsidR="007C2A28" w:rsidRPr="00A719E3" w:rsidTr="00205C3F">
        <w:trPr>
          <w:jc w:val="center"/>
        </w:trPr>
        <w:tc>
          <w:tcPr>
            <w:tcW w:w="1413" w:type="dxa"/>
            <w:vMerge/>
            <w:vAlign w:val="center"/>
          </w:tcPr>
          <w:p w:rsidR="007C2A28" w:rsidRPr="00A719E3" w:rsidRDefault="007C2A28" w:rsidP="00205C3F">
            <w:pPr>
              <w:jc w:val="center"/>
              <w:rPr>
                <w:rFonts w:ascii="黑体" w:eastAsia="黑体" w:hAnsi="黑体"/>
                <w:szCs w:val="21"/>
              </w:rPr>
            </w:pP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公交服务的组成部分</w:t>
            </w:r>
          </w:p>
        </w:tc>
      </w:tr>
      <w:tr w:rsidR="007C2A28" w:rsidRPr="00A719E3" w:rsidTr="00205C3F">
        <w:trPr>
          <w:jc w:val="center"/>
        </w:trPr>
        <w:tc>
          <w:tcPr>
            <w:tcW w:w="1413" w:type="dxa"/>
            <w:vMerge/>
            <w:vAlign w:val="center"/>
          </w:tcPr>
          <w:p w:rsidR="007C2A28" w:rsidRPr="00A719E3" w:rsidRDefault="007C2A28" w:rsidP="00205C3F">
            <w:pPr>
              <w:jc w:val="center"/>
              <w:rPr>
                <w:rFonts w:ascii="黑体" w:eastAsia="黑体" w:hAnsi="黑体"/>
                <w:szCs w:val="21"/>
              </w:rPr>
            </w:pP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公交行业的基本理解</w:t>
            </w:r>
          </w:p>
        </w:tc>
      </w:tr>
      <w:tr w:rsidR="007C2A28" w:rsidRPr="00A719E3" w:rsidTr="00205C3F">
        <w:trPr>
          <w:jc w:val="center"/>
        </w:trPr>
        <w:tc>
          <w:tcPr>
            <w:tcW w:w="1413" w:type="dxa"/>
            <w:vMerge/>
            <w:vAlign w:val="center"/>
          </w:tcPr>
          <w:p w:rsidR="007C2A28" w:rsidRPr="00A719E3" w:rsidRDefault="007C2A28" w:rsidP="00205C3F">
            <w:pPr>
              <w:jc w:val="center"/>
              <w:rPr>
                <w:rFonts w:ascii="黑体" w:eastAsia="黑体" w:hAnsi="黑体"/>
                <w:szCs w:val="21"/>
              </w:rPr>
            </w:pP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欧洲客运公交服务质量标准（E</w:t>
            </w:r>
            <w:r w:rsidRPr="00A719E3">
              <w:rPr>
                <w:rFonts w:ascii="黑体" w:eastAsia="黑体" w:hAnsi="黑体"/>
                <w:szCs w:val="21"/>
              </w:rPr>
              <w:t>N 13816</w:t>
            </w:r>
            <w:r w:rsidRPr="00A719E3">
              <w:rPr>
                <w:rFonts w:ascii="黑体" w:eastAsia="黑体" w:hAnsi="黑体" w:hint="eastAsia"/>
                <w:szCs w:val="21"/>
              </w:rPr>
              <w:t>）</w:t>
            </w:r>
          </w:p>
        </w:tc>
      </w:tr>
      <w:tr w:rsidR="007C2A28" w:rsidRPr="00A719E3" w:rsidTr="00205C3F">
        <w:trPr>
          <w:jc w:val="center"/>
        </w:trPr>
        <w:tc>
          <w:tcPr>
            <w:tcW w:w="1413" w:type="dxa"/>
            <w:vMerge/>
            <w:vAlign w:val="center"/>
          </w:tcPr>
          <w:p w:rsidR="007C2A28" w:rsidRPr="00A719E3" w:rsidRDefault="007C2A28" w:rsidP="00205C3F">
            <w:pPr>
              <w:jc w:val="center"/>
              <w:rPr>
                <w:rFonts w:ascii="黑体" w:eastAsia="黑体" w:hAnsi="黑体"/>
                <w:szCs w:val="21"/>
              </w:rPr>
            </w:pP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E</w:t>
            </w:r>
            <w:r w:rsidRPr="00A719E3">
              <w:rPr>
                <w:rFonts w:ascii="黑体" w:eastAsia="黑体" w:hAnsi="黑体"/>
                <w:szCs w:val="21"/>
              </w:rPr>
              <w:t>N 13816</w:t>
            </w:r>
            <w:r w:rsidRPr="00A719E3">
              <w:rPr>
                <w:rFonts w:ascii="黑体" w:eastAsia="黑体" w:hAnsi="黑体" w:hint="eastAsia"/>
                <w:szCs w:val="21"/>
              </w:rPr>
              <w:t>的目标、范围及闭环管理</w:t>
            </w:r>
          </w:p>
        </w:tc>
      </w:tr>
      <w:tr w:rsidR="007C2A28" w:rsidRPr="00A719E3" w:rsidTr="00205C3F">
        <w:trPr>
          <w:jc w:val="center"/>
        </w:trPr>
        <w:tc>
          <w:tcPr>
            <w:tcW w:w="1413" w:type="dxa"/>
            <w:vMerge/>
            <w:vAlign w:val="center"/>
          </w:tcPr>
          <w:p w:rsidR="007C2A28" w:rsidRPr="00A719E3" w:rsidRDefault="007C2A28" w:rsidP="00205C3F">
            <w:pPr>
              <w:jc w:val="center"/>
              <w:rPr>
                <w:rFonts w:ascii="黑体" w:eastAsia="黑体" w:hAnsi="黑体"/>
                <w:szCs w:val="21"/>
              </w:rPr>
            </w:pP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乘客活动圈的现实情况</w:t>
            </w:r>
          </w:p>
        </w:tc>
      </w:tr>
      <w:tr w:rsidR="007C2A28" w:rsidRPr="00A719E3" w:rsidTr="00205C3F">
        <w:trPr>
          <w:jc w:val="center"/>
        </w:trPr>
        <w:tc>
          <w:tcPr>
            <w:tcW w:w="1413" w:type="dxa"/>
            <w:vMerge/>
            <w:vAlign w:val="center"/>
          </w:tcPr>
          <w:p w:rsidR="007C2A28" w:rsidRPr="00A719E3" w:rsidRDefault="007C2A28" w:rsidP="00205C3F">
            <w:pPr>
              <w:jc w:val="center"/>
              <w:rPr>
                <w:rFonts w:ascii="黑体" w:eastAsia="黑体" w:hAnsi="黑体"/>
                <w:szCs w:val="21"/>
              </w:rPr>
            </w:pP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不同客运模式下的服务质量要求</w:t>
            </w:r>
          </w:p>
        </w:tc>
      </w:tr>
      <w:tr w:rsidR="007C2A28" w:rsidRPr="00A719E3" w:rsidTr="00205C3F">
        <w:trPr>
          <w:jc w:val="center"/>
        </w:trPr>
        <w:tc>
          <w:tcPr>
            <w:tcW w:w="1413" w:type="dxa"/>
            <w:vAlign w:val="center"/>
          </w:tcPr>
          <w:p w:rsidR="007C2A28" w:rsidRPr="00A719E3" w:rsidRDefault="007C2A28" w:rsidP="00205C3F">
            <w:pPr>
              <w:jc w:val="center"/>
              <w:rPr>
                <w:rFonts w:ascii="黑体" w:eastAsia="黑体" w:hAnsi="黑体"/>
                <w:szCs w:val="21"/>
              </w:rPr>
            </w:pPr>
            <w:r w:rsidRPr="00A719E3">
              <w:rPr>
                <w:rFonts w:ascii="黑体" w:eastAsia="黑体" w:hAnsi="黑体"/>
                <w:szCs w:val="21"/>
              </w:rPr>
              <w:t>12</w:t>
            </w:r>
            <w:r w:rsidRPr="00A719E3">
              <w:rPr>
                <w:rFonts w:ascii="黑体" w:eastAsia="黑体" w:hAnsi="黑体" w:hint="eastAsia"/>
                <w:szCs w:val="21"/>
              </w:rPr>
              <w:t>:</w:t>
            </w:r>
            <w:r w:rsidRPr="00A719E3">
              <w:rPr>
                <w:rFonts w:ascii="黑体" w:eastAsia="黑体" w:hAnsi="黑体"/>
                <w:szCs w:val="21"/>
              </w:rPr>
              <w:t>30</w:t>
            </w: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午餐</w:t>
            </w:r>
          </w:p>
        </w:tc>
      </w:tr>
      <w:tr w:rsidR="007C2A28" w:rsidRPr="00A719E3" w:rsidTr="00205C3F">
        <w:trPr>
          <w:jc w:val="center"/>
        </w:trPr>
        <w:tc>
          <w:tcPr>
            <w:tcW w:w="1413" w:type="dxa"/>
            <w:vMerge w:val="restart"/>
            <w:vAlign w:val="center"/>
          </w:tcPr>
          <w:p w:rsidR="007C2A28" w:rsidRPr="00A719E3" w:rsidRDefault="007C2A28" w:rsidP="00205C3F">
            <w:pPr>
              <w:jc w:val="center"/>
              <w:rPr>
                <w:rFonts w:ascii="黑体" w:eastAsia="黑体" w:hAnsi="黑体"/>
                <w:szCs w:val="21"/>
              </w:rPr>
            </w:pPr>
            <w:r w:rsidRPr="00A719E3">
              <w:rPr>
                <w:rFonts w:ascii="黑体" w:eastAsia="黑体" w:hAnsi="黑体" w:hint="eastAsia"/>
                <w:szCs w:val="21"/>
              </w:rPr>
              <w:t>1</w:t>
            </w:r>
            <w:r w:rsidRPr="00A719E3">
              <w:rPr>
                <w:rFonts w:ascii="黑体" w:eastAsia="黑体" w:hAnsi="黑体"/>
                <w:szCs w:val="21"/>
              </w:rPr>
              <w:t>3</w:t>
            </w:r>
            <w:r w:rsidRPr="00A719E3">
              <w:rPr>
                <w:rFonts w:ascii="黑体" w:eastAsia="黑体" w:hAnsi="黑体" w:hint="eastAsia"/>
                <w:szCs w:val="21"/>
              </w:rPr>
              <w:t>:</w:t>
            </w:r>
            <w:r w:rsidRPr="00A719E3">
              <w:rPr>
                <w:rFonts w:ascii="黑体" w:eastAsia="黑体" w:hAnsi="黑体"/>
                <w:szCs w:val="21"/>
              </w:rPr>
              <w:t>30</w:t>
            </w: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第三部分：创造优质的全流程用户体验</w:t>
            </w:r>
          </w:p>
        </w:tc>
      </w:tr>
      <w:tr w:rsidR="007C2A28" w:rsidRPr="00A719E3" w:rsidTr="00205C3F">
        <w:trPr>
          <w:jc w:val="center"/>
        </w:trPr>
        <w:tc>
          <w:tcPr>
            <w:tcW w:w="1413" w:type="dxa"/>
            <w:vMerge/>
            <w:vAlign w:val="center"/>
          </w:tcPr>
          <w:p w:rsidR="007C2A28" w:rsidRPr="00A719E3" w:rsidRDefault="007C2A28" w:rsidP="00205C3F">
            <w:pPr>
              <w:jc w:val="center"/>
              <w:rPr>
                <w:rFonts w:ascii="黑体" w:eastAsia="黑体" w:hAnsi="黑体"/>
                <w:szCs w:val="21"/>
              </w:rPr>
            </w:pP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用户体验是指用户在旅程中，从服务核心（安全可靠的交通服务）到旅程中可能产生的其他交互的各个服务节点的体验。其他服务节点的重点在于出行前后给与客户的体验。运营商及上级管理组织对这些服务节点的保障能力与客户忠诚度息息相关。</w:t>
            </w:r>
          </w:p>
        </w:tc>
      </w:tr>
      <w:tr w:rsidR="007C2A28" w:rsidRPr="00A719E3" w:rsidTr="00205C3F">
        <w:trPr>
          <w:jc w:val="center"/>
        </w:trPr>
        <w:tc>
          <w:tcPr>
            <w:tcW w:w="1413" w:type="dxa"/>
            <w:vAlign w:val="center"/>
          </w:tcPr>
          <w:p w:rsidR="007C2A28" w:rsidRPr="00A719E3" w:rsidRDefault="007C2A28" w:rsidP="00205C3F">
            <w:pPr>
              <w:jc w:val="center"/>
              <w:rPr>
                <w:rFonts w:ascii="黑体" w:eastAsia="黑体" w:hAnsi="黑体"/>
                <w:szCs w:val="21"/>
              </w:rPr>
            </w:pPr>
            <w:r w:rsidRPr="00A719E3">
              <w:rPr>
                <w:rFonts w:ascii="黑体" w:eastAsia="黑体" w:hAnsi="黑体" w:hint="eastAsia"/>
                <w:szCs w:val="21"/>
              </w:rPr>
              <w:t>1</w:t>
            </w:r>
            <w:r w:rsidRPr="00A719E3">
              <w:rPr>
                <w:rFonts w:ascii="黑体" w:eastAsia="黑体" w:hAnsi="黑体"/>
                <w:szCs w:val="21"/>
              </w:rPr>
              <w:t>5</w:t>
            </w:r>
            <w:r w:rsidRPr="00A719E3">
              <w:rPr>
                <w:rFonts w:ascii="黑体" w:eastAsia="黑体" w:hAnsi="黑体" w:hint="eastAsia"/>
                <w:szCs w:val="21"/>
              </w:rPr>
              <w:t>:</w:t>
            </w:r>
            <w:r w:rsidRPr="00A719E3">
              <w:rPr>
                <w:rFonts w:ascii="黑体" w:eastAsia="黑体" w:hAnsi="黑体"/>
                <w:szCs w:val="21"/>
              </w:rPr>
              <w:t>00</w:t>
            </w:r>
          </w:p>
        </w:tc>
        <w:tc>
          <w:tcPr>
            <w:tcW w:w="6804" w:type="dxa"/>
          </w:tcPr>
          <w:p w:rsidR="007C2A28" w:rsidRPr="00A719E3" w:rsidRDefault="007C2A28" w:rsidP="00205C3F">
            <w:pPr>
              <w:rPr>
                <w:rFonts w:ascii="黑体" w:eastAsia="黑体" w:hAnsi="黑体"/>
                <w:szCs w:val="21"/>
              </w:rPr>
            </w:pPr>
            <w:proofErr w:type="gramStart"/>
            <w:r w:rsidRPr="00A719E3">
              <w:rPr>
                <w:rFonts w:ascii="黑体" w:eastAsia="黑体" w:hAnsi="黑体" w:hint="eastAsia"/>
                <w:szCs w:val="21"/>
              </w:rPr>
              <w:t>茶歇</w:t>
            </w:r>
            <w:proofErr w:type="gramEnd"/>
          </w:p>
        </w:tc>
      </w:tr>
      <w:tr w:rsidR="007C2A28" w:rsidRPr="00A719E3" w:rsidTr="00205C3F">
        <w:trPr>
          <w:jc w:val="center"/>
        </w:trPr>
        <w:tc>
          <w:tcPr>
            <w:tcW w:w="1413" w:type="dxa"/>
            <w:vMerge w:val="restart"/>
            <w:vAlign w:val="center"/>
          </w:tcPr>
          <w:p w:rsidR="007C2A28" w:rsidRPr="00A719E3" w:rsidRDefault="007C2A28" w:rsidP="00205C3F">
            <w:pPr>
              <w:jc w:val="center"/>
              <w:rPr>
                <w:rFonts w:ascii="黑体" w:eastAsia="黑体" w:hAnsi="黑体"/>
                <w:szCs w:val="21"/>
              </w:rPr>
            </w:pPr>
            <w:r w:rsidRPr="00A719E3">
              <w:rPr>
                <w:rFonts w:ascii="黑体" w:eastAsia="黑体" w:hAnsi="黑体" w:hint="eastAsia"/>
                <w:szCs w:val="21"/>
              </w:rPr>
              <w:t>1</w:t>
            </w:r>
            <w:r w:rsidRPr="00A719E3">
              <w:rPr>
                <w:rFonts w:ascii="黑体" w:eastAsia="黑体" w:hAnsi="黑体"/>
                <w:szCs w:val="21"/>
              </w:rPr>
              <w:t>5</w:t>
            </w:r>
            <w:r w:rsidRPr="00A719E3">
              <w:rPr>
                <w:rFonts w:ascii="黑体" w:eastAsia="黑体" w:hAnsi="黑体" w:hint="eastAsia"/>
                <w:szCs w:val="21"/>
              </w:rPr>
              <w:t>:</w:t>
            </w:r>
            <w:r w:rsidRPr="00A719E3">
              <w:rPr>
                <w:rFonts w:ascii="黑体" w:eastAsia="黑体" w:hAnsi="黑体"/>
                <w:szCs w:val="21"/>
              </w:rPr>
              <w:t>3</w:t>
            </w:r>
            <w:r w:rsidRPr="00A719E3">
              <w:rPr>
                <w:rFonts w:ascii="黑体" w:eastAsia="黑体" w:hAnsi="黑体" w:hint="eastAsia"/>
                <w:szCs w:val="21"/>
              </w:rPr>
              <w:t>0</w:t>
            </w: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第四部分：无障碍服务</w:t>
            </w:r>
          </w:p>
        </w:tc>
      </w:tr>
      <w:tr w:rsidR="007C2A28" w:rsidRPr="00A719E3" w:rsidTr="00205C3F">
        <w:trPr>
          <w:jc w:val="center"/>
        </w:trPr>
        <w:tc>
          <w:tcPr>
            <w:tcW w:w="1413" w:type="dxa"/>
            <w:vMerge/>
            <w:vAlign w:val="center"/>
          </w:tcPr>
          <w:p w:rsidR="007C2A28" w:rsidRPr="00A719E3" w:rsidRDefault="007C2A28" w:rsidP="00205C3F">
            <w:pPr>
              <w:jc w:val="center"/>
              <w:rPr>
                <w:rFonts w:ascii="黑体" w:eastAsia="黑体" w:hAnsi="黑体"/>
                <w:szCs w:val="21"/>
              </w:rPr>
            </w:pP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如何应对老年化的挑战</w:t>
            </w:r>
          </w:p>
        </w:tc>
      </w:tr>
      <w:tr w:rsidR="007C2A28" w:rsidRPr="00A719E3" w:rsidTr="00205C3F">
        <w:trPr>
          <w:jc w:val="center"/>
        </w:trPr>
        <w:tc>
          <w:tcPr>
            <w:tcW w:w="1413" w:type="dxa"/>
            <w:vAlign w:val="center"/>
          </w:tcPr>
          <w:p w:rsidR="007C2A28" w:rsidRPr="00A719E3" w:rsidRDefault="007C2A28" w:rsidP="00205C3F">
            <w:pPr>
              <w:jc w:val="center"/>
              <w:rPr>
                <w:rFonts w:ascii="黑体" w:eastAsia="黑体" w:hAnsi="黑体"/>
                <w:szCs w:val="21"/>
              </w:rPr>
            </w:pPr>
            <w:r w:rsidRPr="00A719E3">
              <w:rPr>
                <w:rFonts w:ascii="黑体" w:eastAsia="黑体" w:hAnsi="黑体" w:hint="eastAsia"/>
                <w:szCs w:val="21"/>
              </w:rPr>
              <w:t>1</w:t>
            </w:r>
            <w:r w:rsidRPr="00A719E3">
              <w:rPr>
                <w:rFonts w:ascii="黑体" w:eastAsia="黑体" w:hAnsi="黑体"/>
                <w:szCs w:val="21"/>
              </w:rPr>
              <w:t>7</w:t>
            </w:r>
            <w:r w:rsidRPr="00A719E3">
              <w:rPr>
                <w:rFonts w:ascii="黑体" w:eastAsia="黑体" w:hAnsi="黑体" w:hint="eastAsia"/>
                <w:szCs w:val="21"/>
              </w:rPr>
              <w:t>:</w:t>
            </w:r>
            <w:r w:rsidRPr="00A719E3">
              <w:rPr>
                <w:rFonts w:ascii="黑体" w:eastAsia="黑体" w:hAnsi="黑体"/>
                <w:szCs w:val="21"/>
              </w:rPr>
              <w:t>00</w:t>
            </w: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当天培训结束</w:t>
            </w:r>
          </w:p>
        </w:tc>
      </w:tr>
      <w:tr w:rsidR="007C2A28" w:rsidRPr="00A719E3" w:rsidTr="00205C3F">
        <w:trPr>
          <w:jc w:val="center"/>
        </w:trPr>
        <w:tc>
          <w:tcPr>
            <w:tcW w:w="8217" w:type="dxa"/>
            <w:gridSpan w:val="2"/>
            <w:vAlign w:val="center"/>
          </w:tcPr>
          <w:p w:rsidR="007C2A28" w:rsidRPr="00A719E3" w:rsidRDefault="007C2A28" w:rsidP="00205C3F">
            <w:pPr>
              <w:jc w:val="center"/>
              <w:rPr>
                <w:rFonts w:ascii="黑体" w:eastAsia="黑体" w:hAnsi="黑体"/>
                <w:szCs w:val="21"/>
              </w:rPr>
            </w:pPr>
            <w:r w:rsidRPr="00A719E3">
              <w:rPr>
                <w:rFonts w:ascii="黑体" w:eastAsia="黑体" w:hAnsi="黑体" w:hint="eastAsia"/>
                <w:szCs w:val="21"/>
              </w:rPr>
              <w:t>第二天</w:t>
            </w:r>
          </w:p>
        </w:tc>
      </w:tr>
      <w:tr w:rsidR="007C2A28" w:rsidRPr="00A719E3" w:rsidTr="00205C3F">
        <w:trPr>
          <w:jc w:val="center"/>
        </w:trPr>
        <w:tc>
          <w:tcPr>
            <w:tcW w:w="1413" w:type="dxa"/>
            <w:vMerge w:val="restart"/>
            <w:vAlign w:val="center"/>
          </w:tcPr>
          <w:p w:rsidR="007C2A28" w:rsidRPr="00A719E3" w:rsidRDefault="007C2A28" w:rsidP="00205C3F">
            <w:pPr>
              <w:jc w:val="center"/>
              <w:rPr>
                <w:rFonts w:ascii="黑体" w:eastAsia="黑体" w:hAnsi="黑体"/>
                <w:szCs w:val="21"/>
              </w:rPr>
            </w:pPr>
            <w:r w:rsidRPr="00A719E3">
              <w:rPr>
                <w:rFonts w:ascii="黑体" w:eastAsia="黑体" w:hAnsi="黑体" w:hint="eastAsia"/>
                <w:szCs w:val="21"/>
              </w:rPr>
              <w:t>9:</w:t>
            </w:r>
            <w:r w:rsidRPr="00A719E3">
              <w:rPr>
                <w:rFonts w:ascii="黑体" w:eastAsia="黑体" w:hAnsi="黑体"/>
                <w:szCs w:val="21"/>
              </w:rPr>
              <w:t>00</w:t>
            </w: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第一部分：优质服务中所需要的人力资源保障策略及员工培训</w:t>
            </w:r>
          </w:p>
        </w:tc>
      </w:tr>
      <w:tr w:rsidR="007C2A28" w:rsidRPr="00A719E3" w:rsidTr="00205C3F">
        <w:trPr>
          <w:jc w:val="center"/>
        </w:trPr>
        <w:tc>
          <w:tcPr>
            <w:tcW w:w="1413" w:type="dxa"/>
            <w:vMerge/>
            <w:vAlign w:val="center"/>
          </w:tcPr>
          <w:p w:rsidR="007C2A28" w:rsidRPr="00A719E3" w:rsidRDefault="007C2A28" w:rsidP="00205C3F">
            <w:pPr>
              <w:jc w:val="center"/>
              <w:rPr>
                <w:rFonts w:ascii="黑体" w:eastAsia="黑体" w:hAnsi="黑体"/>
                <w:szCs w:val="21"/>
              </w:rPr>
            </w:pP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较高的员工满意度是优质客户服务的前提，服务和工作人员的状态密不可分，因此，有效的人力资源保障策略是提供优质服务的工作重点。有效的、多元化的雇佣策略</w:t>
            </w:r>
            <w:r w:rsidRPr="00A719E3">
              <w:rPr>
                <w:rFonts w:ascii="黑体" w:eastAsia="黑体" w:hAnsi="黑体" w:hint="eastAsia"/>
                <w:color w:val="000000"/>
                <w:szCs w:val="21"/>
              </w:rPr>
              <w:t>、一线员工培训、服务质量竞赛、激励、奖励机制、“服务至上”文化培养等等都是有效</w:t>
            </w:r>
            <w:r w:rsidRPr="00A719E3">
              <w:rPr>
                <w:rFonts w:ascii="黑体" w:eastAsia="黑体" w:hAnsi="黑体" w:hint="eastAsia"/>
                <w:szCs w:val="21"/>
              </w:rPr>
              <w:t>人力资源保障策略的重要构成部分，这些部分的有效程度将对服务质量形成至关重要的影响。</w:t>
            </w:r>
          </w:p>
        </w:tc>
      </w:tr>
      <w:tr w:rsidR="007C2A28" w:rsidRPr="00A719E3" w:rsidTr="00205C3F">
        <w:trPr>
          <w:jc w:val="center"/>
        </w:trPr>
        <w:tc>
          <w:tcPr>
            <w:tcW w:w="1413" w:type="dxa"/>
            <w:vAlign w:val="center"/>
          </w:tcPr>
          <w:p w:rsidR="007C2A28" w:rsidRPr="00A719E3" w:rsidRDefault="007C2A28" w:rsidP="00205C3F">
            <w:pPr>
              <w:jc w:val="center"/>
              <w:rPr>
                <w:rFonts w:ascii="黑体" w:eastAsia="黑体" w:hAnsi="黑体"/>
                <w:szCs w:val="21"/>
              </w:rPr>
            </w:pPr>
            <w:r w:rsidRPr="00A719E3">
              <w:rPr>
                <w:rFonts w:ascii="黑体" w:eastAsia="黑体" w:hAnsi="黑体" w:hint="eastAsia"/>
                <w:szCs w:val="21"/>
              </w:rPr>
              <w:t>1</w:t>
            </w:r>
            <w:r w:rsidRPr="00A719E3">
              <w:rPr>
                <w:rFonts w:ascii="黑体" w:eastAsia="黑体" w:hAnsi="黑体"/>
                <w:szCs w:val="21"/>
              </w:rPr>
              <w:t>0</w:t>
            </w:r>
            <w:r w:rsidRPr="00A719E3">
              <w:rPr>
                <w:rFonts w:ascii="黑体" w:eastAsia="黑体" w:hAnsi="黑体" w:hint="eastAsia"/>
                <w:szCs w:val="21"/>
              </w:rPr>
              <w:t>:</w:t>
            </w:r>
            <w:r w:rsidRPr="00A719E3">
              <w:rPr>
                <w:rFonts w:ascii="黑体" w:eastAsia="黑体" w:hAnsi="黑体"/>
                <w:szCs w:val="21"/>
              </w:rPr>
              <w:t>30</w:t>
            </w:r>
          </w:p>
        </w:tc>
        <w:tc>
          <w:tcPr>
            <w:tcW w:w="6804" w:type="dxa"/>
          </w:tcPr>
          <w:p w:rsidR="007C2A28" w:rsidRPr="00A719E3" w:rsidRDefault="007C2A28" w:rsidP="00205C3F">
            <w:pPr>
              <w:rPr>
                <w:rFonts w:ascii="黑体" w:eastAsia="黑体" w:hAnsi="黑体"/>
                <w:szCs w:val="21"/>
              </w:rPr>
            </w:pPr>
            <w:proofErr w:type="gramStart"/>
            <w:r w:rsidRPr="00A719E3">
              <w:rPr>
                <w:rFonts w:ascii="黑体" w:eastAsia="黑体" w:hAnsi="黑体" w:hint="eastAsia"/>
                <w:szCs w:val="21"/>
              </w:rPr>
              <w:t>茶歇</w:t>
            </w:r>
            <w:proofErr w:type="gramEnd"/>
          </w:p>
        </w:tc>
      </w:tr>
      <w:tr w:rsidR="007C2A28" w:rsidRPr="00A719E3" w:rsidTr="00205C3F">
        <w:trPr>
          <w:jc w:val="center"/>
        </w:trPr>
        <w:tc>
          <w:tcPr>
            <w:tcW w:w="1413" w:type="dxa"/>
            <w:vMerge w:val="restart"/>
            <w:vAlign w:val="center"/>
          </w:tcPr>
          <w:p w:rsidR="007C2A28" w:rsidRPr="00A719E3" w:rsidRDefault="007C2A28" w:rsidP="00205C3F">
            <w:pPr>
              <w:jc w:val="center"/>
              <w:rPr>
                <w:rFonts w:ascii="黑体" w:eastAsia="黑体" w:hAnsi="黑体"/>
                <w:szCs w:val="21"/>
              </w:rPr>
            </w:pPr>
            <w:r w:rsidRPr="00A719E3">
              <w:rPr>
                <w:rFonts w:ascii="黑体" w:eastAsia="黑体" w:hAnsi="黑体" w:hint="eastAsia"/>
                <w:szCs w:val="21"/>
              </w:rPr>
              <w:t>1</w:t>
            </w:r>
            <w:r w:rsidRPr="00A719E3">
              <w:rPr>
                <w:rFonts w:ascii="黑体" w:eastAsia="黑体" w:hAnsi="黑体"/>
                <w:szCs w:val="21"/>
              </w:rPr>
              <w:t>1</w:t>
            </w:r>
            <w:r w:rsidRPr="00A719E3">
              <w:rPr>
                <w:rFonts w:ascii="黑体" w:eastAsia="黑体" w:hAnsi="黑体" w:hint="eastAsia"/>
                <w:szCs w:val="21"/>
              </w:rPr>
              <w:t>:</w:t>
            </w:r>
            <w:r w:rsidRPr="00A719E3">
              <w:rPr>
                <w:rFonts w:ascii="黑体" w:eastAsia="黑体" w:hAnsi="黑体"/>
                <w:szCs w:val="21"/>
              </w:rPr>
              <w:t>00</w:t>
            </w: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第二部分：管理者眼中的客户服务</w:t>
            </w:r>
          </w:p>
        </w:tc>
      </w:tr>
      <w:tr w:rsidR="007C2A28" w:rsidRPr="00A719E3" w:rsidTr="00205C3F">
        <w:trPr>
          <w:jc w:val="center"/>
        </w:trPr>
        <w:tc>
          <w:tcPr>
            <w:tcW w:w="1413" w:type="dxa"/>
            <w:vMerge/>
            <w:vAlign w:val="center"/>
          </w:tcPr>
          <w:p w:rsidR="007C2A28" w:rsidRPr="00A719E3" w:rsidRDefault="007C2A28" w:rsidP="00205C3F">
            <w:pPr>
              <w:jc w:val="center"/>
              <w:rPr>
                <w:rFonts w:ascii="黑体" w:eastAsia="黑体" w:hAnsi="黑体"/>
                <w:szCs w:val="21"/>
              </w:rPr>
            </w:pP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在不同的地区，管理者在客户服务中扮演的角色不尽相同，但是无可否认的是，他们的角色在对服务的定性、激励制度和管理制度的制定中不可或缺。该部分将对管理者在客户服务中所扮演的一些有代表性的角色和观点进行讨论</w:t>
            </w:r>
          </w:p>
        </w:tc>
      </w:tr>
      <w:tr w:rsidR="007C2A28" w:rsidRPr="00A719E3" w:rsidTr="00205C3F">
        <w:trPr>
          <w:jc w:val="center"/>
        </w:trPr>
        <w:tc>
          <w:tcPr>
            <w:tcW w:w="1413" w:type="dxa"/>
            <w:vAlign w:val="center"/>
          </w:tcPr>
          <w:p w:rsidR="007C2A28" w:rsidRPr="00A719E3" w:rsidRDefault="007C2A28" w:rsidP="00205C3F">
            <w:pPr>
              <w:jc w:val="center"/>
              <w:rPr>
                <w:rFonts w:ascii="黑体" w:eastAsia="黑体" w:hAnsi="黑体"/>
                <w:szCs w:val="21"/>
              </w:rPr>
            </w:pPr>
            <w:r w:rsidRPr="00A719E3">
              <w:rPr>
                <w:rFonts w:ascii="黑体" w:eastAsia="黑体" w:hAnsi="黑体"/>
                <w:szCs w:val="21"/>
              </w:rPr>
              <w:t>12</w:t>
            </w:r>
            <w:r w:rsidRPr="00A719E3">
              <w:rPr>
                <w:rFonts w:ascii="黑体" w:eastAsia="黑体" w:hAnsi="黑体" w:hint="eastAsia"/>
                <w:szCs w:val="21"/>
              </w:rPr>
              <w:t>:</w:t>
            </w:r>
            <w:r w:rsidRPr="00A719E3">
              <w:rPr>
                <w:rFonts w:ascii="黑体" w:eastAsia="黑体" w:hAnsi="黑体"/>
                <w:szCs w:val="21"/>
              </w:rPr>
              <w:t>30</w:t>
            </w: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午餐</w:t>
            </w:r>
          </w:p>
        </w:tc>
      </w:tr>
      <w:tr w:rsidR="007C2A28" w:rsidRPr="00A719E3" w:rsidTr="00205C3F">
        <w:trPr>
          <w:jc w:val="center"/>
        </w:trPr>
        <w:tc>
          <w:tcPr>
            <w:tcW w:w="1413" w:type="dxa"/>
            <w:vMerge w:val="restart"/>
            <w:vAlign w:val="center"/>
          </w:tcPr>
          <w:p w:rsidR="007C2A28" w:rsidRPr="00A719E3" w:rsidRDefault="007C2A28" w:rsidP="00205C3F">
            <w:pPr>
              <w:jc w:val="center"/>
              <w:rPr>
                <w:rFonts w:ascii="黑体" w:eastAsia="黑体" w:hAnsi="黑体"/>
                <w:szCs w:val="21"/>
              </w:rPr>
            </w:pPr>
            <w:r w:rsidRPr="00A719E3">
              <w:rPr>
                <w:rFonts w:ascii="黑体" w:eastAsia="黑体" w:hAnsi="黑体" w:hint="eastAsia"/>
                <w:szCs w:val="21"/>
              </w:rPr>
              <w:t>1</w:t>
            </w:r>
            <w:r w:rsidRPr="00A719E3">
              <w:rPr>
                <w:rFonts w:ascii="黑体" w:eastAsia="黑体" w:hAnsi="黑体"/>
                <w:szCs w:val="21"/>
              </w:rPr>
              <w:t>3</w:t>
            </w:r>
            <w:r w:rsidRPr="00A719E3">
              <w:rPr>
                <w:rFonts w:ascii="黑体" w:eastAsia="黑体" w:hAnsi="黑体" w:hint="eastAsia"/>
                <w:szCs w:val="21"/>
              </w:rPr>
              <w:t>:</w:t>
            </w:r>
            <w:r w:rsidRPr="00A719E3">
              <w:rPr>
                <w:rFonts w:ascii="黑体" w:eastAsia="黑体" w:hAnsi="黑体"/>
                <w:szCs w:val="21"/>
              </w:rPr>
              <w:t>30</w:t>
            </w: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第三部分：运用科技手段提高服务质量</w:t>
            </w:r>
          </w:p>
        </w:tc>
      </w:tr>
      <w:tr w:rsidR="007C2A28" w:rsidRPr="00A719E3" w:rsidTr="00205C3F">
        <w:trPr>
          <w:jc w:val="center"/>
        </w:trPr>
        <w:tc>
          <w:tcPr>
            <w:tcW w:w="1413" w:type="dxa"/>
            <w:vMerge/>
            <w:vAlign w:val="center"/>
          </w:tcPr>
          <w:p w:rsidR="007C2A28" w:rsidRPr="00A719E3" w:rsidRDefault="007C2A28" w:rsidP="00205C3F">
            <w:pPr>
              <w:jc w:val="center"/>
              <w:rPr>
                <w:rFonts w:ascii="黑体" w:eastAsia="黑体" w:hAnsi="黑体"/>
                <w:szCs w:val="21"/>
              </w:rPr>
            </w:pP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该部分将深入研究科技手段的应用、影响及其带来的新服务要点。在社交网络、智能设备交互上，运营者可以获得大量数据，并在对其进行大数据分析、整合后，为提高服务质量提供理论基础。</w:t>
            </w:r>
          </w:p>
        </w:tc>
      </w:tr>
      <w:tr w:rsidR="007C2A28" w:rsidRPr="00A719E3" w:rsidTr="00205C3F">
        <w:trPr>
          <w:jc w:val="center"/>
        </w:trPr>
        <w:tc>
          <w:tcPr>
            <w:tcW w:w="1413" w:type="dxa"/>
            <w:vAlign w:val="center"/>
          </w:tcPr>
          <w:p w:rsidR="007C2A28" w:rsidRPr="00A719E3" w:rsidRDefault="007C2A28" w:rsidP="00205C3F">
            <w:pPr>
              <w:jc w:val="center"/>
              <w:rPr>
                <w:rFonts w:ascii="黑体" w:eastAsia="黑体" w:hAnsi="黑体"/>
                <w:szCs w:val="21"/>
              </w:rPr>
            </w:pPr>
            <w:r w:rsidRPr="00A719E3">
              <w:rPr>
                <w:rFonts w:ascii="黑体" w:eastAsia="黑体" w:hAnsi="黑体" w:hint="eastAsia"/>
                <w:szCs w:val="21"/>
              </w:rPr>
              <w:lastRenderedPageBreak/>
              <w:t>1</w:t>
            </w:r>
            <w:r w:rsidRPr="00A719E3">
              <w:rPr>
                <w:rFonts w:ascii="黑体" w:eastAsia="黑体" w:hAnsi="黑体"/>
                <w:szCs w:val="21"/>
              </w:rPr>
              <w:t>5</w:t>
            </w:r>
            <w:r w:rsidRPr="00A719E3">
              <w:rPr>
                <w:rFonts w:ascii="黑体" w:eastAsia="黑体" w:hAnsi="黑体" w:hint="eastAsia"/>
                <w:szCs w:val="21"/>
              </w:rPr>
              <w:t>:</w:t>
            </w:r>
            <w:r w:rsidRPr="00A719E3">
              <w:rPr>
                <w:rFonts w:ascii="黑体" w:eastAsia="黑体" w:hAnsi="黑体"/>
                <w:szCs w:val="21"/>
              </w:rPr>
              <w:t>00</w:t>
            </w:r>
          </w:p>
        </w:tc>
        <w:tc>
          <w:tcPr>
            <w:tcW w:w="6804" w:type="dxa"/>
          </w:tcPr>
          <w:p w:rsidR="007C2A28" w:rsidRPr="00A719E3" w:rsidRDefault="007C2A28" w:rsidP="00205C3F">
            <w:pPr>
              <w:rPr>
                <w:rFonts w:ascii="黑体" w:eastAsia="黑体" w:hAnsi="黑体"/>
                <w:szCs w:val="21"/>
              </w:rPr>
            </w:pPr>
            <w:proofErr w:type="gramStart"/>
            <w:r w:rsidRPr="00A719E3">
              <w:rPr>
                <w:rFonts w:ascii="黑体" w:eastAsia="黑体" w:hAnsi="黑体" w:hint="eastAsia"/>
                <w:szCs w:val="21"/>
              </w:rPr>
              <w:t>茶歇</w:t>
            </w:r>
            <w:proofErr w:type="gramEnd"/>
          </w:p>
        </w:tc>
      </w:tr>
      <w:tr w:rsidR="007C2A28" w:rsidRPr="00A719E3" w:rsidTr="00205C3F">
        <w:trPr>
          <w:jc w:val="center"/>
        </w:trPr>
        <w:tc>
          <w:tcPr>
            <w:tcW w:w="1413" w:type="dxa"/>
            <w:vMerge w:val="restart"/>
            <w:vAlign w:val="center"/>
          </w:tcPr>
          <w:p w:rsidR="007C2A28" w:rsidRPr="00A719E3" w:rsidRDefault="007C2A28" w:rsidP="00205C3F">
            <w:pPr>
              <w:jc w:val="center"/>
              <w:rPr>
                <w:rFonts w:ascii="黑体" w:eastAsia="黑体" w:hAnsi="黑体"/>
                <w:szCs w:val="21"/>
              </w:rPr>
            </w:pPr>
            <w:r w:rsidRPr="00A719E3">
              <w:rPr>
                <w:rFonts w:ascii="黑体" w:eastAsia="黑体" w:hAnsi="黑体" w:hint="eastAsia"/>
                <w:szCs w:val="21"/>
              </w:rPr>
              <w:t>1</w:t>
            </w:r>
            <w:r w:rsidRPr="00A719E3">
              <w:rPr>
                <w:rFonts w:ascii="黑体" w:eastAsia="黑体" w:hAnsi="黑体"/>
                <w:szCs w:val="21"/>
              </w:rPr>
              <w:t>5</w:t>
            </w:r>
            <w:r w:rsidRPr="00A719E3">
              <w:rPr>
                <w:rFonts w:ascii="黑体" w:eastAsia="黑体" w:hAnsi="黑体" w:hint="eastAsia"/>
                <w:szCs w:val="21"/>
              </w:rPr>
              <w:t>:</w:t>
            </w:r>
            <w:r w:rsidRPr="00A719E3">
              <w:rPr>
                <w:rFonts w:ascii="黑体" w:eastAsia="黑体" w:hAnsi="黑体"/>
                <w:szCs w:val="21"/>
              </w:rPr>
              <w:t>30</w:t>
            </w: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第四部分：服务质量管理</w:t>
            </w:r>
          </w:p>
        </w:tc>
      </w:tr>
      <w:tr w:rsidR="007C2A28" w:rsidRPr="00A719E3" w:rsidTr="00205C3F">
        <w:trPr>
          <w:jc w:val="center"/>
        </w:trPr>
        <w:tc>
          <w:tcPr>
            <w:tcW w:w="1413" w:type="dxa"/>
            <w:vMerge/>
            <w:vAlign w:val="center"/>
          </w:tcPr>
          <w:p w:rsidR="007C2A28" w:rsidRPr="00A719E3" w:rsidRDefault="007C2A28" w:rsidP="00205C3F">
            <w:pPr>
              <w:jc w:val="center"/>
              <w:rPr>
                <w:rFonts w:ascii="黑体" w:eastAsia="黑体" w:hAnsi="黑体"/>
                <w:szCs w:val="21"/>
              </w:rPr>
            </w:pP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该部分将讨论服务质量管理的三种惯用方法：CSS、MSS及投诉管理系统</w:t>
            </w:r>
          </w:p>
        </w:tc>
      </w:tr>
      <w:tr w:rsidR="007C2A28" w:rsidRPr="00A719E3" w:rsidTr="00205C3F">
        <w:trPr>
          <w:jc w:val="center"/>
        </w:trPr>
        <w:tc>
          <w:tcPr>
            <w:tcW w:w="1413" w:type="dxa"/>
            <w:vAlign w:val="center"/>
          </w:tcPr>
          <w:p w:rsidR="007C2A28" w:rsidRPr="00A719E3" w:rsidRDefault="007C2A28" w:rsidP="00205C3F">
            <w:pPr>
              <w:jc w:val="center"/>
              <w:rPr>
                <w:rFonts w:ascii="黑体" w:eastAsia="黑体" w:hAnsi="黑体"/>
                <w:szCs w:val="21"/>
              </w:rPr>
            </w:pPr>
            <w:r w:rsidRPr="00A719E3">
              <w:rPr>
                <w:rFonts w:ascii="黑体" w:eastAsia="黑体" w:hAnsi="黑体" w:hint="eastAsia"/>
                <w:szCs w:val="21"/>
              </w:rPr>
              <w:t>1</w:t>
            </w:r>
            <w:r w:rsidRPr="00A719E3">
              <w:rPr>
                <w:rFonts w:ascii="黑体" w:eastAsia="黑体" w:hAnsi="黑体"/>
                <w:szCs w:val="21"/>
              </w:rPr>
              <w:t>6</w:t>
            </w:r>
            <w:r w:rsidRPr="00A719E3">
              <w:rPr>
                <w:rFonts w:ascii="黑体" w:eastAsia="黑体" w:hAnsi="黑体" w:hint="eastAsia"/>
                <w:szCs w:val="21"/>
              </w:rPr>
              <w:t>:</w:t>
            </w:r>
            <w:r w:rsidRPr="00A719E3">
              <w:rPr>
                <w:rFonts w:ascii="黑体" w:eastAsia="黑体" w:hAnsi="黑体"/>
                <w:szCs w:val="21"/>
              </w:rPr>
              <w:t>00</w:t>
            </w: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当天培训结束</w:t>
            </w:r>
          </w:p>
        </w:tc>
      </w:tr>
      <w:tr w:rsidR="007C2A28" w:rsidRPr="00A719E3" w:rsidTr="00205C3F">
        <w:trPr>
          <w:jc w:val="center"/>
        </w:trPr>
        <w:tc>
          <w:tcPr>
            <w:tcW w:w="8217" w:type="dxa"/>
            <w:gridSpan w:val="2"/>
            <w:vAlign w:val="center"/>
          </w:tcPr>
          <w:p w:rsidR="007C2A28" w:rsidRPr="00A719E3" w:rsidRDefault="007C2A28" w:rsidP="00205C3F">
            <w:pPr>
              <w:jc w:val="center"/>
              <w:rPr>
                <w:rFonts w:ascii="黑体" w:eastAsia="黑体" w:hAnsi="黑体"/>
                <w:szCs w:val="21"/>
              </w:rPr>
            </w:pPr>
            <w:r w:rsidRPr="00A719E3">
              <w:rPr>
                <w:rFonts w:ascii="黑体" w:eastAsia="黑体" w:hAnsi="黑体" w:hint="eastAsia"/>
                <w:szCs w:val="21"/>
              </w:rPr>
              <w:t>第三天</w:t>
            </w:r>
          </w:p>
        </w:tc>
      </w:tr>
      <w:tr w:rsidR="007C2A28" w:rsidRPr="00A719E3" w:rsidTr="00205C3F">
        <w:trPr>
          <w:jc w:val="center"/>
        </w:trPr>
        <w:tc>
          <w:tcPr>
            <w:tcW w:w="1413" w:type="dxa"/>
            <w:vMerge w:val="restart"/>
            <w:vAlign w:val="center"/>
          </w:tcPr>
          <w:p w:rsidR="007C2A28" w:rsidRPr="00A719E3" w:rsidRDefault="007C2A28" w:rsidP="00205C3F">
            <w:pPr>
              <w:jc w:val="center"/>
              <w:rPr>
                <w:rFonts w:ascii="黑体" w:eastAsia="黑体" w:hAnsi="黑体"/>
                <w:szCs w:val="21"/>
              </w:rPr>
            </w:pPr>
            <w:r w:rsidRPr="00A719E3">
              <w:rPr>
                <w:rFonts w:ascii="黑体" w:eastAsia="黑体" w:hAnsi="黑体" w:hint="eastAsia"/>
                <w:szCs w:val="21"/>
              </w:rPr>
              <w:t>9:</w:t>
            </w:r>
            <w:r w:rsidRPr="00A719E3">
              <w:rPr>
                <w:rFonts w:ascii="黑体" w:eastAsia="黑体" w:hAnsi="黑体"/>
                <w:szCs w:val="21"/>
              </w:rPr>
              <w:t>00</w:t>
            </w: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第一部分：深圳实地</w:t>
            </w:r>
            <w:r w:rsidRPr="00A719E3">
              <w:rPr>
                <w:rFonts w:ascii="黑体" w:eastAsia="黑体" w:hAnsi="黑体"/>
                <w:szCs w:val="21"/>
              </w:rPr>
              <w:t>考察</w:t>
            </w:r>
          </w:p>
        </w:tc>
      </w:tr>
      <w:tr w:rsidR="007C2A28" w:rsidRPr="00A719E3" w:rsidTr="00205C3F">
        <w:trPr>
          <w:jc w:val="center"/>
        </w:trPr>
        <w:tc>
          <w:tcPr>
            <w:tcW w:w="1413" w:type="dxa"/>
            <w:vMerge/>
            <w:vAlign w:val="center"/>
          </w:tcPr>
          <w:p w:rsidR="007C2A28" w:rsidRPr="00A719E3" w:rsidRDefault="007C2A28" w:rsidP="00205C3F">
            <w:pPr>
              <w:jc w:val="center"/>
              <w:rPr>
                <w:rFonts w:ascii="黑体" w:eastAsia="黑体" w:hAnsi="黑体"/>
                <w:szCs w:val="21"/>
              </w:rPr>
            </w:pP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对场站</w:t>
            </w:r>
            <w:r w:rsidRPr="00A719E3">
              <w:rPr>
                <w:rFonts w:ascii="黑体" w:eastAsia="黑体" w:hAnsi="黑体"/>
                <w:szCs w:val="21"/>
              </w:rPr>
              <w:t>等进行实</w:t>
            </w:r>
            <w:r w:rsidRPr="00A719E3">
              <w:rPr>
                <w:rFonts w:ascii="黑体" w:eastAsia="黑体" w:hAnsi="黑体" w:hint="eastAsia"/>
                <w:szCs w:val="21"/>
              </w:rPr>
              <w:t>地</w:t>
            </w:r>
            <w:r w:rsidRPr="00A719E3">
              <w:rPr>
                <w:rFonts w:ascii="黑体" w:eastAsia="黑体" w:hAnsi="黑体"/>
                <w:szCs w:val="21"/>
              </w:rPr>
              <w:t>考察</w:t>
            </w:r>
          </w:p>
        </w:tc>
      </w:tr>
      <w:tr w:rsidR="007C2A28" w:rsidRPr="00A719E3" w:rsidTr="00205C3F">
        <w:trPr>
          <w:jc w:val="center"/>
        </w:trPr>
        <w:tc>
          <w:tcPr>
            <w:tcW w:w="1413" w:type="dxa"/>
            <w:vMerge w:val="restart"/>
            <w:vAlign w:val="center"/>
          </w:tcPr>
          <w:p w:rsidR="007C2A28" w:rsidRPr="00A719E3" w:rsidRDefault="007C2A28" w:rsidP="00205C3F">
            <w:pPr>
              <w:jc w:val="center"/>
              <w:rPr>
                <w:rFonts w:ascii="黑体" w:eastAsia="黑体" w:hAnsi="黑体"/>
                <w:szCs w:val="21"/>
              </w:rPr>
            </w:pPr>
            <w:r w:rsidRPr="00A719E3">
              <w:rPr>
                <w:rFonts w:ascii="黑体" w:eastAsia="黑体" w:hAnsi="黑体" w:hint="eastAsia"/>
                <w:szCs w:val="21"/>
              </w:rPr>
              <w:t>1</w:t>
            </w:r>
            <w:r w:rsidRPr="00A719E3">
              <w:rPr>
                <w:rFonts w:ascii="黑体" w:eastAsia="黑体" w:hAnsi="黑体"/>
                <w:szCs w:val="21"/>
              </w:rPr>
              <w:t>0</w:t>
            </w:r>
            <w:r w:rsidRPr="00A719E3">
              <w:rPr>
                <w:rFonts w:ascii="黑体" w:eastAsia="黑体" w:hAnsi="黑体" w:hint="eastAsia"/>
                <w:szCs w:val="21"/>
              </w:rPr>
              <w:t>:</w:t>
            </w:r>
            <w:r w:rsidRPr="00A719E3">
              <w:rPr>
                <w:rFonts w:ascii="黑体" w:eastAsia="黑体" w:hAnsi="黑体"/>
                <w:szCs w:val="21"/>
              </w:rPr>
              <w:t>30</w:t>
            </w: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第</w:t>
            </w:r>
            <w:r w:rsidRPr="00A719E3">
              <w:rPr>
                <w:rFonts w:ascii="黑体" w:eastAsia="黑体" w:hAnsi="黑体"/>
                <w:szCs w:val="21"/>
              </w:rPr>
              <w:t>二部分：</w:t>
            </w:r>
            <w:r w:rsidRPr="00A719E3">
              <w:rPr>
                <w:rFonts w:ascii="黑体" w:eastAsia="黑体" w:hAnsi="黑体" w:hint="eastAsia"/>
                <w:szCs w:val="21"/>
              </w:rPr>
              <w:t>讲解</w:t>
            </w:r>
            <w:r w:rsidRPr="00A719E3">
              <w:rPr>
                <w:rFonts w:ascii="黑体" w:eastAsia="黑体" w:hAnsi="黑体"/>
                <w:szCs w:val="21"/>
              </w:rPr>
              <w:t>公</w:t>
            </w:r>
            <w:r w:rsidRPr="00A719E3">
              <w:rPr>
                <w:rFonts w:ascii="黑体" w:eastAsia="黑体" w:hAnsi="黑体" w:hint="eastAsia"/>
                <w:szCs w:val="21"/>
              </w:rPr>
              <w:t>共</w:t>
            </w:r>
            <w:r w:rsidRPr="00A719E3">
              <w:rPr>
                <w:rFonts w:ascii="黑体" w:eastAsia="黑体" w:hAnsi="黑体"/>
                <w:szCs w:val="21"/>
              </w:rPr>
              <w:t>交</w:t>
            </w:r>
            <w:r w:rsidRPr="00A719E3">
              <w:rPr>
                <w:rFonts w:ascii="黑体" w:eastAsia="黑体" w:hAnsi="黑体" w:hint="eastAsia"/>
                <w:szCs w:val="21"/>
              </w:rPr>
              <w:t>通</w:t>
            </w:r>
            <w:r w:rsidRPr="00A719E3">
              <w:rPr>
                <w:rFonts w:ascii="黑体" w:eastAsia="黑体" w:hAnsi="黑体"/>
                <w:szCs w:val="21"/>
              </w:rPr>
              <w:t>服务质量</w:t>
            </w:r>
            <w:r w:rsidRPr="00A719E3">
              <w:rPr>
                <w:rFonts w:ascii="黑体" w:eastAsia="黑体" w:hAnsi="黑体" w:hint="eastAsia"/>
                <w:szCs w:val="21"/>
              </w:rPr>
              <w:t>审计</w:t>
            </w:r>
          </w:p>
        </w:tc>
      </w:tr>
      <w:tr w:rsidR="007C2A28" w:rsidRPr="00A719E3" w:rsidTr="00205C3F">
        <w:trPr>
          <w:jc w:val="center"/>
        </w:trPr>
        <w:tc>
          <w:tcPr>
            <w:tcW w:w="1413" w:type="dxa"/>
            <w:vMerge/>
            <w:vAlign w:val="center"/>
          </w:tcPr>
          <w:p w:rsidR="007C2A28" w:rsidRPr="00A719E3" w:rsidRDefault="007C2A28" w:rsidP="00205C3F">
            <w:pPr>
              <w:jc w:val="center"/>
              <w:rPr>
                <w:rFonts w:ascii="黑体" w:eastAsia="黑体" w:hAnsi="黑体"/>
                <w:szCs w:val="21"/>
              </w:rPr>
            </w:pP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实操</w:t>
            </w:r>
            <w:r w:rsidRPr="00A719E3">
              <w:rPr>
                <w:rFonts w:ascii="黑体" w:eastAsia="黑体" w:hAnsi="黑体"/>
                <w:szCs w:val="21"/>
              </w:rPr>
              <w:t>公</w:t>
            </w:r>
            <w:r w:rsidRPr="00A719E3">
              <w:rPr>
                <w:rFonts w:ascii="黑体" w:eastAsia="黑体" w:hAnsi="黑体" w:hint="eastAsia"/>
                <w:szCs w:val="21"/>
              </w:rPr>
              <w:t>共</w:t>
            </w:r>
            <w:r w:rsidRPr="00A719E3">
              <w:rPr>
                <w:rFonts w:ascii="黑体" w:eastAsia="黑体" w:hAnsi="黑体"/>
                <w:szCs w:val="21"/>
              </w:rPr>
              <w:t>交</w:t>
            </w:r>
            <w:r w:rsidRPr="00A719E3">
              <w:rPr>
                <w:rFonts w:ascii="黑体" w:eastAsia="黑体" w:hAnsi="黑体" w:hint="eastAsia"/>
                <w:szCs w:val="21"/>
              </w:rPr>
              <w:t>通</w:t>
            </w:r>
            <w:r w:rsidRPr="00A719E3">
              <w:rPr>
                <w:rFonts w:ascii="黑体" w:eastAsia="黑体" w:hAnsi="黑体"/>
                <w:szCs w:val="21"/>
              </w:rPr>
              <w:t>服务质量</w:t>
            </w:r>
            <w:r w:rsidRPr="00A719E3">
              <w:rPr>
                <w:rFonts w:ascii="黑体" w:eastAsia="黑体" w:hAnsi="黑体" w:hint="eastAsia"/>
                <w:szCs w:val="21"/>
              </w:rPr>
              <w:t>审计</w:t>
            </w:r>
          </w:p>
        </w:tc>
      </w:tr>
      <w:tr w:rsidR="007C2A28" w:rsidRPr="00A719E3" w:rsidTr="00205C3F">
        <w:trPr>
          <w:jc w:val="center"/>
        </w:trPr>
        <w:tc>
          <w:tcPr>
            <w:tcW w:w="1413" w:type="dxa"/>
            <w:vAlign w:val="center"/>
          </w:tcPr>
          <w:p w:rsidR="007C2A28" w:rsidRPr="00A719E3" w:rsidRDefault="007C2A28" w:rsidP="00205C3F">
            <w:pPr>
              <w:jc w:val="center"/>
              <w:rPr>
                <w:rFonts w:ascii="黑体" w:eastAsia="黑体" w:hAnsi="黑体"/>
                <w:szCs w:val="21"/>
              </w:rPr>
            </w:pPr>
            <w:r w:rsidRPr="00A719E3">
              <w:rPr>
                <w:rFonts w:ascii="黑体" w:eastAsia="黑体" w:hAnsi="黑体" w:hint="eastAsia"/>
                <w:szCs w:val="21"/>
              </w:rPr>
              <w:t>1</w:t>
            </w:r>
            <w:r w:rsidRPr="00A719E3">
              <w:rPr>
                <w:rFonts w:ascii="黑体" w:eastAsia="黑体" w:hAnsi="黑体"/>
                <w:szCs w:val="21"/>
              </w:rPr>
              <w:t>1</w:t>
            </w:r>
            <w:r w:rsidRPr="00A719E3">
              <w:rPr>
                <w:rFonts w:ascii="黑体" w:eastAsia="黑体" w:hAnsi="黑体" w:hint="eastAsia"/>
                <w:szCs w:val="21"/>
              </w:rPr>
              <w:t>:</w:t>
            </w:r>
            <w:r w:rsidRPr="00A719E3">
              <w:rPr>
                <w:rFonts w:ascii="黑体" w:eastAsia="黑体" w:hAnsi="黑体"/>
                <w:szCs w:val="21"/>
              </w:rPr>
              <w:t>30</w:t>
            </w: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结束致辞、证书颁发</w:t>
            </w:r>
          </w:p>
        </w:tc>
      </w:tr>
      <w:tr w:rsidR="007C2A28" w:rsidRPr="00A719E3" w:rsidTr="00205C3F">
        <w:trPr>
          <w:jc w:val="center"/>
        </w:trPr>
        <w:tc>
          <w:tcPr>
            <w:tcW w:w="1413" w:type="dxa"/>
            <w:vAlign w:val="center"/>
          </w:tcPr>
          <w:p w:rsidR="007C2A28" w:rsidRPr="00A719E3" w:rsidRDefault="007C2A28" w:rsidP="00205C3F">
            <w:pPr>
              <w:jc w:val="center"/>
              <w:rPr>
                <w:rFonts w:ascii="黑体" w:eastAsia="黑体" w:hAnsi="黑体"/>
                <w:szCs w:val="21"/>
              </w:rPr>
            </w:pPr>
            <w:r w:rsidRPr="00A719E3">
              <w:rPr>
                <w:rFonts w:ascii="黑体" w:eastAsia="黑体" w:hAnsi="黑体" w:hint="eastAsia"/>
                <w:szCs w:val="21"/>
              </w:rPr>
              <w:t>1</w:t>
            </w:r>
            <w:r w:rsidRPr="00A719E3">
              <w:rPr>
                <w:rFonts w:ascii="黑体" w:eastAsia="黑体" w:hAnsi="黑体"/>
                <w:szCs w:val="21"/>
              </w:rPr>
              <w:t>2</w:t>
            </w:r>
            <w:r w:rsidRPr="00A719E3">
              <w:rPr>
                <w:rFonts w:ascii="黑体" w:eastAsia="黑体" w:hAnsi="黑体" w:hint="eastAsia"/>
                <w:szCs w:val="21"/>
              </w:rPr>
              <w:t>:</w:t>
            </w:r>
            <w:r w:rsidRPr="00A719E3">
              <w:rPr>
                <w:rFonts w:ascii="黑体" w:eastAsia="黑体" w:hAnsi="黑体"/>
                <w:szCs w:val="21"/>
              </w:rPr>
              <w:t>30</w:t>
            </w: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午餐</w:t>
            </w:r>
          </w:p>
        </w:tc>
      </w:tr>
      <w:tr w:rsidR="007C2A28" w:rsidRPr="00A719E3" w:rsidTr="00205C3F">
        <w:trPr>
          <w:jc w:val="center"/>
        </w:trPr>
        <w:tc>
          <w:tcPr>
            <w:tcW w:w="1413" w:type="dxa"/>
            <w:vAlign w:val="center"/>
          </w:tcPr>
          <w:p w:rsidR="007C2A28" w:rsidRPr="00A719E3" w:rsidRDefault="007C2A28" w:rsidP="00205C3F">
            <w:pPr>
              <w:jc w:val="center"/>
              <w:rPr>
                <w:rFonts w:ascii="黑体" w:eastAsia="黑体" w:hAnsi="黑体"/>
                <w:szCs w:val="21"/>
              </w:rPr>
            </w:pPr>
            <w:r w:rsidRPr="00A719E3">
              <w:rPr>
                <w:rFonts w:ascii="黑体" w:eastAsia="黑体" w:hAnsi="黑体" w:hint="eastAsia"/>
                <w:szCs w:val="21"/>
              </w:rPr>
              <w:t>1</w:t>
            </w:r>
            <w:r w:rsidRPr="00A719E3">
              <w:rPr>
                <w:rFonts w:ascii="黑体" w:eastAsia="黑体" w:hAnsi="黑体"/>
                <w:szCs w:val="21"/>
              </w:rPr>
              <w:t>4</w:t>
            </w:r>
            <w:r w:rsidRPr="00A719E3">
              <w:rPr>
                <w:rFonts w:ascii="黑体" w:eastAsia="黑体" w:hAnsi="黑体" w:hint="eastAsia"/>
                <w:szCs w:val="21"/>
              </w:rPr>
              <w:t>:</w:t>
            </w:r>
            <w:r w:rsidRPr="00A719E3">
              <w:rPr>
                <w:rFonts w:ascii="黑体" w:eastAsia="黑体" w:hAnsi="黑体"/>
                <w:szCs w:val="21"/>
              </w:rPr>
              <w:t>00</w:t>
            </w:r>
          </w:p>
        </w:tc>
        <w:tc>
          <w:tcPr>
            <w:tcW w:w="6804" w:type="dxa"/>
          </w:tcPr>
          <w:p w:rsidR="007C2A28" w:rsidRPr="00A719E3" w:rsidRDefault="007C2A28" w:rsidP="00205C3F">
            <w:pPr>
              <w:rPr>
                <w:rFonts w:ascii="黑体" w:eastAsia="黑体" w:hAnsi="黑体"/>
                <w:szCs w:val="21"/>
              </w:rPr>
            </w:pPr>
            <w:r w:rsidRPr="00A719E3">
              <w:rPr>
                <w:rFonts w:ascii="黑体" w:eastAsia="黑体" w:hAnsi="黑体" w:hint="eastAsia"/>
                <w:szCs w:val="21"/>
              </w:rPr>
              <w:t>所有培训结束</w:t>
            </w:r>
          </w:p>
        </w:tc>
      </w:tr>
    </w:tbl>
    <w:p w:rsidR="00157234" w:rsidRDefault="00157234">
      <w:bookmarkStart w:id="0" w:name="_GoBack"/>
      <w:bookmarkEnd w:id="0"/>
    </w:p>
    <w:sectPr w:rsidR="001572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A28"/>
    <w:rsid w:val="00157234"/>
    <w:rsid w:val="007C2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7007F-92E5-45BB-A51D-CB884CC3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A28"/>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931</Characters>
  <Application>Microsoft Office Word</Application>
  <DocSecurity>0</DocSecurity>
  <Lines>7</Lines>
  <Paragraphs>2</Paragraphs>
  <ScaleCrop>false</ScaleCrop>
  <Company>Microsoft</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GUO</dc:creator>
  <cp:keywords/>
  <dc:description/>
  <cp:lastModifiedBy>Bonnie GUO</cp:lastModifiedBy>
  <cp:revision>1</cp:revision>
  <dcterms:created xsi:type="dcterms:W3CDTF">2019-07-11T06:35:00Z</dcterms:created>
  <dcterms:modified xsi:type="dcterms:W3CDTF">2019-07-11T06:36:00Z</dcterms:modified>
</cp:coreProperties>
</file>